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position w:val="-45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position w:val="-45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-45085</wp:posOffset>
                </wp:positionV>
                <wp:extent cx="304800" cy="4286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alibri" w:hAnsi="Calibri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  <w:sz w:val="32"/>
                                <w:szCs w:val="32"/>
                                <w:lang w:val="en-US" w:eastAsia="zh-CN"/>
                              </w:rPr>
                              <w:t>A</w:t>
                            </w:r>
                          </w:p>
                          <w:p>
                            <w:pPr>
                              <w:rPr>
                                <w:rFonts w:hint="eastAsia" w:ascii="Calibri" w:hAnsi="Calibri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75pt;margin-top:-3.55pt;height:33.75pt;width:24pt;z-index:251659264;mso-width-relative:page;mso-height-relative:page;" fillcolor="#FFFFFF" filled="t" stroked="f" coordsize="21600,21600" o:gfxdata="UEsDBAoAAAAAAIdO4kAAAAAAAAAAAAAAAAAEAAAAZHJzL1BLAwQUAAAACACHTuJAhSJe/9cAAAAJ&#10;AQAADwAAAGRycy9kb3ducmV2LnhtbE2Py07DMBBF90j8gzVIbFBrB5oHIZNKIIHYtvQDJvE0iYjt&#10;KHab9u8xK1jOzNGdc6vtxYzizLMfnEVI1goE29bpwXYIh6/3VQHCB7KaRmcZ4coetvXtTUWldovd&#10;8XkfOhFDrC8JoQ9hKqX0bc+G/NpNbOPt6GZDIY5zJ/VMSww3o3xUKpOGBhs/9DTxW8/t9/5kEI6f&#10;y0P6vDQf4ZDvNtkrDXnjroj3d4l6ARH4Ev5g+NWP6lBHp8adrPZiRCie0jSiCKs8ARGBIm5ANAiZ&#10;2oCsK/m/Qf0DUEsDBBQAAAAIAIdO4kAWJCcwvQEAAHYDAAAOAAAAZHJzL2Uyb0RvYy54bWytU8GO&#10;0zAQvSPxD5bvNGlZVlXUdCWoygUB0sIHuI6TWLI91tht0h+AP+DEhTvf1e9g7IQuLJc9kINjzzw/&#10;z3tjb+5Ga9hJYdDgar5clJwpJ6HRrqv550/7F2vOQhSuEQacqvlZBX63ff5sM/hKraAH0yhkROJC&#10;Nfia9zH6qiiC7JUVYQFeOUq2gFZEWmJXNCgGYremWJXlbTEANh5BqhAoupuSfGbEpxBC22qpdiCP&#10;Vrk4saIyIpKk0Gsf+DZX27ZKxg9tG1RkpuakNOaRDqH5IY3FdiOqDoXvtZxLEE8p4ZEmK7SjQ69U&#10;OxEFO6L+h8pqiRCgjQsJtpiEZEdIxbJ85M19L7zKWsjq4K+mh/9HK9+fPiLTDd0Ezpyw1PDLt6+X&#10;7z8vP76wZbJn8KEi1L0nXBxfw5igczxQMKkeW7TpT3oY5cnc89VcNUYmKfiyvFmXlJGUulmtb1ev&#10;EkvxsNljiG8VWJYmNUfqXbZUnN6FOEF/Q9JZAYxu9tqYvMDu8MYgOwnq8z5/M/tfMOMS2EHaNjGm&#10;SJEkTlLSLI6HcdZ3gOZMso8edddTTVl4hlM7cvHz1Un9/nOdSR+ey/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SJe/9cAAAAJAQAADwAAAAAAAAABACAAAAAiAAAAZHJzL2Rvd25yZXYueG1sUEsB&#10;AhQAFAAAAAgAh07iQBYkJzC9AQAAdgMAAA4AAAAAAAAAAQAgAAAAJg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alibri" w:hAnsi="Calibri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/>
                          <w:sz w:val="32"/>
                          <w:szCs w:val="32"/>
                          <w:lang w:val="en-US" w:eastAsia="zh-CN"/>
                        </w:rPr>
                        <w:t>A</w:t>
                      </w:r>
                    </w:p>
                    <w:p>
                      <w:pPr>
                        <w:rPr>
                          <w:rFonts w:hint="eastAsia" w:ascii="Calibri" w:hAnsi="Calibri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position w:val="-454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人大十八届二次会议</w:t>
      </w:r>
      <w:r>
        <w:rPr>
          <w:rFonts w:hint="eastAsia" w:ascii="方正小标宋简体" w:eastAsia="方正小标宋简体"/>
          <w:sz w:val="44"/>
          <w:szCs w:val="44"/>
        </w:rPr>
        <w:t>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135</w:t>
      </w:r>
      <w:r>
        <w:rPr>
          <w:rFonts w:hint="eastAsia" w:ascii="方正小标宋简体" w:eastAsia="方正小标宋简体"/>
          <w:sz w:val="44"/>
          <w:szCs w:val="44"/>
        </w:rPr>
        <w:t>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  <w:r>
        <w:rPr>
          <w:rFonts w:hint="eastAsia" w:ascii="方正小标宋简体" w:eastAsia="方正小标宋简体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鲍志平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关于提升村级卫生室建设方便群众就近就医的建议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》已悉，现就您提出的建议答复如下：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一、我市村级医疗机构基本情况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我市21个乡镇（街道），有中心卫生院6家，乡镇卫生院9家，社区卫生服务中心6家，其中泗门镇设有市第四人民医院和泗门镇社区卫生服务中心，一个单位两块牌子。全市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社区卫生服务站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324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村卫生室工作的医护人员共418人（包括卫生院下派医生、护士49人，其中持乡村医生证书的乡村医生299人，持执业（助理）医师证书的乡村医生70人）。其中乡村医生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-SA"/>
        </w:rPr>
        <w:t>按年龄分：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40-59周岁的86人，占23.3%，60-69周岁的101人，占27.37%，70-79周岁的173人,占46.88%，80周岁以上9人，占2.43%。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二、破解村级医疗卫生难题的抓手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市卫健局一直以来高度重视乡村医生队伍建设，通过</w:t>
      </w:r>
      <w:r>
        <w:rPr>
          <w:rFonts w:hint="eastAsia" w:ascii="仿宋_GB2312" w:hAnsi="仿宋" w:eastAsia="仿宋_GB2312" w:cs="仿宋"/>
          <w:sz w:val="32"/>
          <w:szCs w:val="32"/>
        </w:rPr>
        <w:t>全科医生定向培养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充实乡村医生人才队伍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</w:t>
      </w:r>
      <w:r>
        <w:rPr>
          <w:rFonts w:hint="eastAsia" w:ascii="仿宋_GB2312" w:hAnsi="仿宋" w:eastAsia="仿宋_GB2312" w:cs="仿宋"/>
          <w:sz w:val="32"/>
          <w:szCs w:val="32"/>
        </w:rPr>
        <w:t>定向招聘等方式引导一批有工作经历和专业资历的卫技人员到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村卫生室</w:t>
      </w:r>
      <w:r>
        <w:rPr>
          <w:rFonts w:hint="eastAsia" w:ascii="仿宋_GB2312" w:hAnsi="仿宋" w:eastAsia="仿宋_GB2312" w:cs="仿宋"/>
          <w:sz w:val="32"/>
          <w:szCs w:val="32"/>
        </w:rPr>
        <w:t>工作。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 w:cs="仿宋"/>
          <w:sz w:val="32"/>
          <w:szCs w:val="32"/>
        </w:rPr>
        <w:t>全市乡村医生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 w:cs="仿宋"/>
          <w:sz w:val="32"/>
          <w:szCs w:val="32"/>
        </w:rPr>
        <w:t>一年一次的乡村医生注册培训，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选派乡村医生</w:t>
      </w:r>
      <w:r>
        <w:rPr>
          <w:rFonts w:hint="eastAsia" w:ascii="仿宋_GB2312" w:hAnsi="仿宋" w:eastAsia="仿宋_GB2312" w:cs="仿宋"/>
          <w:sz w:val="32"/>
          <w:szCs w:val="32"/>
        </w:rPr>
        <w:t>参加国培项目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等，</w:t>
      </w:r>
      <w:r>
        <w:rPr>
          <w:rFonts w:hint="eastAsia" w:ascii="仿宋_GB2312" w:hAnsi="仿宋" w:eastAsia="仿宋_GB2312" w:cs="仿宋"/>
          <w:sz w:val="32"/>
          <w:szCs w:val="32"/>
        </w:rPr>
        <w:t>进一步提升村级医疗机构的服务水平。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但由于村级卫生岗位人才队伍结构老化，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学历层次偏低，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不断内外挖潜，但效果甚微。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为此去年4月，在市委市政府和各部门的大力支持下，出台了《关于进一步加强乡村医疗卫生服务体系建设的实施意见》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，从制度层面解决了乡村医生后继乏人的现状。但从实际执行过程中又遇到了乡医培养周期长、招不足、留不住的困难，同时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市现有村卫生室的房屋及基础设施建设、基本设备配备年代久远，已与现代村卫生室功能和群众需求明显不相适应。市委市政府高度重视，要求全面铺开、加快推进全市村卫生室改造建设，出台《余姚市村卫生室“三优三提”改造建设工程实施方案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通过“三优”建设（优化基础设施、优化队伍建设、优化机构管理），着力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提升群众就医体验、提升村卫生室业务水准和服务效能，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打造有余姚特色的“环境美、业务强、服务优”的村卫生室。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主要内容可概括为“三破三强”。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“破”机构性质,强村室规范。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村卫生室由乡镇（街道）政府举办，业务管理由市卫生健康局和属地乡镇卫生院（社区卫</w:t>
      </w:r>
      <w:r>
        <w:rPr>
          <w:rFonts w:hint="eastAsia" w:ascii="仿宋_GB2312" w:hAnsi="仿宋_GB2312" w:eastAsia="仿宋_GB2312" w:cs="仿宋_GB2312"/>
          <w:sz w:val="32"/>
          <w:szCs w:val="32"/>
        </w:rPr>
        <w:t>生服务中心）负责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并按规范化、示范化、智慧化标准进行分类分级建设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2022年投入270万元用于19家村卫生的改建或新建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开展“三优三提”村卫生室改造建设工程 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计划2023年、2024年分别改造建设村卫生室91家和95家，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市级财政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投入约4000余万元（不足部分镇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全额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二是“破”人员性质，强队伍建设。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2022年基层医疗卫生机构新增事业编制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，明确234名专项用于招聘乡村医生。新招聘乡村医生人员经费按实际发放标准由市财政全额保障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首次探索招生与公开招聘并轨的大学生村医委培模式，适当放宽年龄限制等开展定向招聘事业编制乡村医生，2022年首次完成20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名大学生村医招录工作和19名定向在编乡村医生招聘工作。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2023年继续开展大学生村医定向委培和定向招聘工作。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三是“破”服务模式，强医防能力。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推动乡村医生参与家庭医生签约团队服务，开展村级公共卫生和防病工作。探索设立村级“健康加油站”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智慧自助诊疗、远程会诊、预约转诊、居家健康监测、智能语音随访等村级智慧医疗服务和健康管理，满足群众多样化服务需求。力争到2025年，全市21个乡镇（街道）均有1家及以上智慧化村卫生室。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三、下步工作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下一步，市卫健局将全面贯彻落实《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关于进一步加强乡村医疗卫生服务体系建设的实施意见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余姚市村卫生室“三优三提”改造建设工程实施方案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指导乡镇（街道）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进一步完善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村卫生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设置规划，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特别是有多个村卫生室，既有规划内又有规划外村卫生室的行政村，要统筹做好该行政村卫生室的合理设置。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要加快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各乡镇（街道）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村卫生室“三优三提”的建设力度，提高建设质量，打造“以人为本、以用为本”的规范化实用型村卫生室。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加强乡村医生人员培养、招聘和管理，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转变村卫生室服务模式，提升村级健康促进服务能力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逐步缓解乡村医生年龄老化后继乏人、综合服务能力低下的现象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感谢您对卫生健康工作的关心和支持！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分管领导：楼唯君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 办 人：钱浓浓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联系电话：62626536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余姚市卫生健康局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287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ind w:firstLine="280" w:firstLineChars="100"/>
      </w:pPr>
      <w:r>
        <w:rPr>
          <w:rFonts w:hint="eastAsia" w:ascii="仿宋_GB2312" w:eastAsia="仿宋_GB2312"/>
          <w:sz w:val="28"/>
          <w:szCs w:val="28"/>
        </w:rPr>
        <w:t>余姚市</w:t>
      </w:r>
      <w:r>
        <w:rPr>
          <w:rFonts w:hint="eastAsia" w:ascii="仿宋_GB2312" w:eastAsia="仿宋_GB2312"/>
          <w:sz w:val="28"/>
          <w:szCs w:val="28"/>
          <w:lang w:eastAsia="zh-CN"/>
        </w:rPr>
        <w:t>卫生健康</w:t>
      </w:r>
      <w:r>
        <w:rPr>
          <w:rFonts w:hint="eastAsia" w:ascii="仿宋_GB2312" w:eastAsia="仿宋_GB2312"/>
          <w:sz w:val="28"/>
          <w:szCs w:val="28"/>
        </w:rPr>
        <w:t xml:space="preserve">局办公室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zI0M2VjZDU5NmQ3NGE5MmU3MTJmN2FlZDVhZjAifQ=="/>
  </w:docVars>
  <w:rsids>
    <w:rsidRoot w:val="09A06257"/>
    <w:rsid w:val="03AE5E2B"/>
    <w:rsid w:val="09A06257"/>
    <w:rsid w:val="3D012E1B"/>
    <w:rsid w:val="540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spacing w:before="171"/>
      <w:ind w:left="111" w:right="290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1765</Characters>
  <Lines>0</Lines>
  <Paragraphs>0</Paragraphs>
  <TotalTime>18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2023-05-29T04:34:00Z</dcterms:created>
  <dc:creator>admin</dc:creator>
  <cp:lastModifiedBy>王晨</cp:lastModifiedBy>
  <cp:lastPrinted>2023-06-01T05:03:09Z</cp:lastPrinted>
  <dcterms:modified xsi:type="dcterms:W3CDTF">2023-06-01T05:04:06Z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3A197A52D6AD48B8A2B1F306E70F0112_12</vt:lpwstr>
  </property>
</Properties>
</file>