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pict>
          <v:shape id="Text Box 4" o:spid="_x0000_s1026" o:spt="202" type="#_x0000_t202" style="position:absolute;left:0pt;margin-left:423pt;margin-top:-7.95pt;height:35.1pt;width:27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32"/>
          <w:szCs w:val="32"/>
        </w:rPr>
        <w:t xml:space="preserve">                                                   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color w:val="FF0000"/>
          <w:w w:val="85"/>
          <w:sz w:val="90"/>
          <w:szCs w:val="90"/>
        </w:rPr>
      </w:pPr>
      <w:r>
        <w:rPr>
          <w:rFonts w:hint="eastAsia" w:ascii="华文中宋" w:hAnsi="华文中宋" w:eastAsia="华文中宋" w:cs="华文中宋"/>
          <w:color w:val="FF0000"/>
          <w:w w:val="85"/>
          <w:sz w:val="90"/>
          <w:szCs w:val="90"/>
        </w:rPr>
        <w:t>余姚市发展和改革局文件</w:t>
      </w:r>
    </w:p>
    <w:p>
      <w:pPr>
        <w:tabs>
          <w:tab w:val="left" w:pos="5115"/>
        </w:tabs>
        <w:jc w:val="left"/>
        <w:rPr>
          <w:rFonts w:ascii="仿宋_GB2312" w:eastAsia="仿宋_GB2312" w:cs="Times New Roman"/>
          <w:color w:val="FF0000"/>
          <w:sz w:val="32"/>
          <w:szCs w:val="32"/>
        </w:rPr>
      </w:pPr>
      <w:r>
        <w:rPr>
          <w:rFonts w:ascii="仿宋_GB2312" w:eastAsia="仿宋_GB2312" w:cs="Times New Roman"/>
          <w:color w:val="FF0000"/>
          <w:sz w:val="32"/>
          <w:szCs w:val="32"/>
        </w:rPr>
        <w:tab/>
      </w:r>
    </w:p>
    <w:p>
      <w:pPr>
        <w:tabs>
          <w:tab w:val="left" w:pos="1582"/>
          <w:tab w:val="center" w:pos="4422"/>
        </w:tabs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ab/>
      </w:r>
      <w:r>
        <w:rPr>
          <w:rFonts w:ascii="仿宋_GB2312" w:eastAsia="仿宋_GB2312" w:cs="Times New Roman"/>
          <w:sz w:val="32"/>
          <w:szCs w:val="32"/>
        </w:rPr>
        <w:tab/>
      </w:r>
    </w:p>
    <w:p>
      <w:pPr>
        <w:rPr>
          <w:rFonts w:ascii="仿宋_GB2312" w:eastAsia="仿宋_GB2312" w:cs="Times New Roman"/>
          <w:color w:val="FF0000"/>
        </w:rPr>
      </w:pPr>
      <w:r>
        <w:rPr>
          <w:rFonts w:ascii="仿宋_GB2312" w:eastAsia="仿宋_GB2312" w:cs="仿宋_GB2312"/>
          <w:color w:val="FF0000"/>
          <w:sz w:val="32"/>
          <w:szCs w:val="32"/>
          <w:u w:val="single"/>
        </w:rPr>
        <w:t xml:space="preserve">                                                         </w:t>
      </w:r>
    </w:p>
    <w:p>
      <w:pPr>
        <w:jc w:val="both"/>
        <w:rPr>
          <w:rFonts w:ascii="宋体" w:cs="Times New Roman"/>
          <w:color w:val="FF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方正小标宋简体" w:cs="Times New Roman"/>
          <w:w w:val="90"/>
          <w:sz w:val="44"/>
          <w:szCs w:val="44"/>
        </w:rPr>
      </w:pPr>
      <w:r>
        <w:rPr>
          <w:rFonts w:hint="eastAsia" w:eastAsia="方正小标宋简体" w:cs="方正小标宋简体"/>
          <w:w w:val="90"/>
          <w:sz w:val="44"/>
          <w:szCs w:val="44"/>
        </w:rPr>
        <w:t>关于市人大十八届</w:t>
      </w:r>
      <w:r>
        <w:rPr>
          <w:rFonts w:hint="eastAsia" w:eastAsia="方正小标宋简体" w:cs="方正小标宋简体"/>
          <w:w w:val="90"/>
          <w:sz w:val="44"/>
          <w:szCs w:val="44"/>
          <w:lang w:eastAsia="zh-CN"/>
        </w:rPr>
        <w:t>二</w:t>
      </w:r>
      <w:r>
        <w:rPr>
          <w:rFonts w:hint="eastAsia" w:eastAsia="方正小标宋简体" w:cs="方正小标宋简体"/>
          <w:w w:val="90"/>
          <w:sz w:val="44"/>
          <w:szCs w:val="44"/>
        </w:rPr>
        <w:t>次会议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142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号建</w:t>
      </w:r>
      <w:r>
        <w:rPr>
          <w:rFonts w:hint="eastAsia" w:eastAsia="方正小标宋简体" w:cs="方正小标宋简体"/>
          <w:w w:val="90"/>
          <w:sz w:val="44"/>
          <w:szCs w:val="44"/>
        </w:rPr>
        <w:t>议的答复</w:t>
      </w:r>
    </w:p>
    <w:p>
      <w:pPr>
        <w:keepNext w:val="0"/>
        <w:keepLines w:val="0"/>
        <w:pageBreakBefore w:val="0"/>
        <w:tabs>
          <w:tab w:val="left" w:pos="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周静代表：</w:t>
      </w:r>
    </w:p>
    <w:p>
      <w:pPr>
        <w:keepNext w:val="0"/>
        <w:keepLines w:val="0"/>
        <w:pageBreakBefore w:val="0"/>
        <w:tabs>
          <w:tab w:val="left" w:pos="6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您好！您提出的《关于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加强新能源汽车充电设施建设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的建议》的提案收悉，感谢您对本市推进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新能源汽车充电桩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工作的关心和支持，经与有关部门研究，现对您提出的提案答复如下: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新能源汽车是未来汽车行业的发展方向，随着新能源车的不断增加，加速推进新能源汽车充电基础设施布局建设，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实现“碳达峰、碳中和”目标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的战略要求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成为满足人民群众日益增长的新能源汽车用能需求、提升群众获得感、幸福感的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重要举措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按照宁波市电动汽车充电基础设施“十四五”发展规划部署，我市通过制定方案、奖补激励、加强指导等方式，积极推动充电基础设施建设，社会各界参与充电设施建设运营的积极性显著提升，充电设施数量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近年来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呈现快速增长态势。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为切实解决“充电难”问题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我市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重点围绕“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全覆盖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、易找桩、多建设、优配套”原则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深入统筹推进新能源汽车充电设施建设工作，制定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《余姚“新能源汽车充电难”问题专项治理工作实施方案》，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明确住建、供电、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 w:bidi="ar"/>
        </w:rPr>
        <w:t>交通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商务、文广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 w:bidi="ar"/>
        </w:rPr>
        <w:t>舜建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等30余个职能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 w:bidi="ar"/>
        </w:rPr>
        <w:t>部门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 w:bidi="ar"/>
        </w:rPr>
        <w:t>压实属地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公共充电桩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 w:bidi="ar"/>
        </w:rPr>
        <w:t>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任务，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协调解决山区乡镇全覆盖、存量小区电力接入难等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问题。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2022年我市新建新能源公共充电桩286只，超额完成年度任务的238%，全面实现21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Hans" w:bidi="ar"/>
        </w:rPr>
        <w:t>个乡镇街道公共充电桩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“镇镇通”，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完成首批试点5个存量小区充电基础设施配套电网整体改造工程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Hans" w:bidi="ar"/>
        </w:rPr>
        <w:t>截至目前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Hans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全市已累计建成新能源公共充电桩1000余个，主要分布在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全市各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公共停车场、商业体、景区等公共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区域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全市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Hans" w:bidi="ar"/>
        </w:rPr>
        <w:t>现有基础设施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约可服务1万辆以上新能源汽车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Hans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Hans" w:bidi="ar"/>
        </w:rPr>
        <w:t>站数据全面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接入省级、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宁波市级充电设施公共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平台，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可通过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浙里办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</w:rPr>
        <w:t>“一键找桩”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获取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充电桩定位、收费标准等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将积极采纳您的建议，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各部门形成合力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，多种模式推进住宅小区建设公共和自用充电桩建设，继续特别是做好老旧小区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新能源基础设施建设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62626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监督指导新建居民小区配建公共</w:t>
      </w:r>
      <w:r>
        <w:rPr>
          <w:rFonts w:hint="eastAsia" w:ascii="仿宋_GB2312" w:hAnsi="仿宋_GB2312" w:eastAsia="仿宋_GB2312" w:cs="仿宋_GB2312"/>
          <w:bCs/>
          <w:snapToGrid w:val="0"/>
          <w:spacing w:val="-4"/>
          <w:sz w:val="32"/>
          <w:szCs w:val="32"/>
        </w:rPr>
        <w:t>充</w:t>
      </w:r>
      <w:r>
        <w:rPr>
          <w:rFonts w:hint="eastAsia" w:ascii="仿宋_GB2312" w:hAnsi="仿宋_GB2312" w:eastAsia="仿宋_GB2312" w:cs="仿宋_GB2312"/>
          <w:sz w:val="32"/>
          <w:szCs w:val="32"/>
        </w:rPr>
        <w:t>电桩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按照浙江省《民用建筑电动汽车充电设施配置与设计规范》、《宁波市民用建筑电动汽车充电设施和充电设备技术规定》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等规范要求，配建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充电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比例14%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其中配建快充（公共）车位应占。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住建部门将严格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做好图审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将充电基础设施配建情况纳入整体工程验收范畴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并对后期运营服务做好监督指导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配建指标以外的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86%的普通车位，全部预留电网桥架或管道，同时额外预留6%的变压器负荷空间，为普通车位后期加装充电桩预留空间。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进老旧小区改造配建公共</w:t>
      </w:r>
      <w:r>
        <w:rPr>
          <w:rFonts w:hint="eastAsia" w:ascii="仿宋_GB2312" w:hAnsi="仿宋_GB2312" w:eastAsia="仿宋_GB2312" w:cs="仿宋_GB2312"/>
          <w:bCs/>
          <w:snapToGrid w:val="0"/>
          <w:spacing w:val="-4"/>
          <w:sz w:val="32"/>
          <w:szCs w:val="32"/>
        </w:rPr>
        <w:t>充</w:t>
      </w:r>
      <w:r>
        <w:rPr>
          <w:rFonts w:hint="eastAsia" w:ascii="仿宋_GB2312" w:hAnsi="仿宋_GB2312" w:eastAsia="仿宋_GB2312" w:cs="仿宋_GB2312"/>
          <w:sz w:val="32"/>
          <w:szCs w:val="32"/>
        </w:rPr>
        <w:t>电桩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。对于纳入改造计划的老旧小区，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科学制定改造方案，在充分征求业主意见的基础上，将安装建设电动汽车充电设施纳入小区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整体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案，合理设置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配建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财政资金和社会资本相结合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旧小区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安置房小区等急需的基础公益保障性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充电设施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建设。支持在老旧小区推广引入智慧车网互动型充电设施建设，通过智能化管理，探索提高老旧小区充电车位车辆流动性，提升充电桩使用频率的新模式，缓解“充电难”问题。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分发挥市场作用推进既有次新小区加装改造充电基础设施</w:t>
      </w:r>
      <w:r>
        <w:rPr>
          <w:rFonts w:hint="eastAsia" w:ascii="仿宋_GB2312" w:hAnsi="仿宋_GB2312" w:eastAsia="仿宋_GB2312" w:cs="仿宋_GB2312"/>
          <w:bCs/>
          <w:snapToGrid w:val="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支持物业、第三方充电服务企业根据用户需求及业主委员会授权，利用公共停车位建设相对集中的公共充电设施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监督指导社区、业委会和物业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对固定车位业主建设自用充电充电桩的行为提供必要的安装协助。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加强配电网接入服务。根据老旧小区改造提升工程、存量居民区百姓充电需求，开展居民区内充电设施接电点的统一规划布局，分批推进小区充电基础设施配套电网整体改造。2023年计划继续完成20个存量小区的电网改造任务，陆续推进全市60余个同类小区电网整体改造工程。对于固定车位上的居民自用充电桩电力报装，经社区审核后，电网负责电能表及以上部分土建及电气的投资建设，为充电基础设施接入电网提供便利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老旧小区周边的道路收费停车位、公共停车场等区域建设公共充电桩规划布局力度，距离上满足老小区居民的充电需求，打造三公里充电服务圈，助力低碳出行。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上述是对您提案的答复。希望您继续关心和支持我们的工作，多提宝贵意见，使我们的工作做得更好。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分管领导：杨钱波，联系电话：62730320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承 办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卢丹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，联系电话：62703010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right="640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余姚市发展和改革局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2155" w:right="1418" w:bottom="1985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Verdan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猴嗨森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晓波美妍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平安行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瑞意宋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-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-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F33"/>
    <w:rsid w:val="00004FB4"/>
    <w:rsid w:val="000153E3"/>
    <w:rsid w:val="0005496F"/>
    <w:rsid w:val="00064CC7"/>
    <w:rsid w:val="00073559"/>
    <w:rsid w:val="00097D36"/>
    <w:rsid w:val="000B28B6"/>
    <w:rsid w:val="000C5F89"/>
    <w:rsid w:val="000D2969"/>
    <w:rsid w:val="000D785C"/>
    <w:rsid w:val="000D79C1"/>
    <w:rsid w:val="000F28CE"/>
    <w:rsid w:val="000F4C77"/>
    <w:rsid w:val="001010C8"/>
    <w:rsid w:val="00133019"/>
    <w:rsid w:val="001334BA"/>
    <w:rsid w:val="00136680"/>
    <w:rsid w:val="001A133B"/>
    <w:rsid w:val="001A3754"/>
    <w:rsid w:val="001D3FED"/>
    <w:rsid w:val="001E65ED"/>
    <w:rsid w:val="001F41FD"/>
    <w:rsid w:val="001F668A"/>
    <w:rsid w:val="00207C8B"/>
    <w:rsid w:val="002113C0"/>
    <w:rsid w:val="00213358"/>
    <w:rsid w:val="00227347"/>
    <w:rsid w:val="00250C8C"/>
    <w:rsid w:val="00276338"/>
    <w:rsid w:val="002A3781"/>
    <w:rsid w:val="002A5693"/>
    <w:rsid w:val="002D4071"/>
    <w:rsid w:val="002E3635"/>
    <w:rsid w:val="00302E03"/>
    <w:rsid w:val="003037B5"/>
    <w:rsid w:val="00337798"/>
    <w:rsid w:val="00342B1E"/>
    <w:rsid w:val="00371763"/>
    <w:rsid w:val="003A00D4"/>
    <w:rsid w:val="003C3196"/>
    <w:rsid w:val="003C3A23"/>
    <w:rsid w:val="003E7941"/>
    <w:rsid w:val="003F106D"/>
    <w:rsid w:val="0042726B"/>
    <w:rsid w:val="004421B3"/>
    <w:rsid w:val="00447047"/>
    <w:rsid w:val="0045678A"/>
    <w:rsid w:val="00457548"/>
    <w:rsid w:val="0046220E"/>
    <w:rsid w:val="00464902"/>
    <w:rsid w:val="00475C79"/>
    <w:rsid w:val="004778A9"/>
    <w:rsid w:val="00487C46"/>
    <w:rsid w:val="004C0C1A"/>
    <w:rsid w:val="004F64D7"/>
    <w:rsid w:val="005103E1"/>
    <w:rsid w:val="00510582"/>
    <w:rsid w:val="0051630C"/>
    <w:rsid w:val="00533B68"/>
    <w:rsid w:val="0054723D"/>
    <w:rsid w:val="005624F2"/>
    <w:rsid w:val="00562F2A"/>
    <w:rsid w:val="00567169"/>
    <w:rsid w:val="005678AB"/>
    <w:rsid w:val="005804A2"/>
    <w:rsid w:val="0058650B"/>
    <w:rsid w:val="0058671A"/>
    <w:rsid w:val="00593E13"/>
    <w:rsid w:val="0059561D"/>
    <w:rsid w:val="005A37B9"/>
    <w:rsid w:val="005D02DF"/>
    <w:rsid w:val="00635E08"/>
    <w:rsid w:val="00645256"/>
    <w:rsid w:val="00667241"/>
    <w:rsid w:val="006C7CBF"/>
    <w:rsid w:val="006D3212"/>
    <w:rsid w:val="007151EE"/>
    <w:rsid w:val="00751F51"/>
    <w:rsid w:val="00755370"/>
    <w:rsid w:val="007A3831"/>
    <w:rsid w:val="007D1E86"/>
    <w:rsid w:val="007E5532"/>
    <w:rsid w:val="0080751F"/>
    <w:rsid w:val="0085077F"/>
    <w:rsid w:val="00863C18"/>
    <w:rsid w:val="008703EF"/>
    <w:rsid w:val="00897AE0"/>
    <w:rsid w:val="008B683F"/>
    <w:rsid w:val="008C4E13"/>
    <w:rsid w:val="008D2249"/>
    <w:rsid w:val="008D35C7"/>
    <w:rsid w:val="009039E2"/>
    <w:rsid w:val="00903F8F"/>
    <w:rsid w:val="0092072E"/>
    <w:rsid w:val="00920D0A"/>
    <w:rsid w:val="0093436F"/>
    <w:rsid w:val="00944E54"/>
    <w:rsid w:val="00946513"/>
    <w:rsid w:val="009615CC"/>
    <w:rsid w:val="00973163"/>
    <w:rsid w:val="00975172"/>
    <w:rsid w:val="009764F9"/>
    <w:rsid w:val="009801E2"/>
    <w:rsid w:val="009A4928"/>
    <w:rsid w:val="009B3F83"/>
    <w:rsid w:val="009C375A"/>
    <w:rsid w:val="00A02BD7"/>
    <w:rsid w:val="00A21B0B"/>
    <w:rsid w:val="00A37DF7"/>
    <w:rsid w:val="00A50511"/>
    <w:rsid w:val="00A51EBB"/>
    <w:rsid w:val="00A66DC9"/>
    <w:rsid w:val="00A71417"/>
    <w:rsid w:val="00A90F21"/>
    <w:rsid w:val="00A91E2E"/>
    <w:rsid w:val="00AA3F67"/>
    <w:rsid w:val="00AB5055"/>
    <w:rsid w:val="00AD4914"/>
    <w:rsid w:val="00AD4C25"/>
    <w:rsid w:val="00AF476E"/>
    <w:rsid w:val="00AF58D5"/>
    <w:rsid w:val="00AF61B8"/>
    <w:rsid w:val="00B16114"/>
    <w:rsid w:val="00B2040F"/>
    <w:rsid w:val="00B32356"/>
    <w:rsid w:val="00B34220"/>
    <w:rsid w:val="00B343CC"/>
    <w:rsid w:val="00B43CBC"/>
    <w:rsid w:val="00B52BA2"/>
    <w:rsid w:val="00B53A77"/>
    <w:rsid w:val="00B6167D"/>
    <w:rsid w:val="00B66875"/>
    <w:rsid w:val="00B91EBF"/>
    <w:rsid w:val="00B956A5"/>
    <w:rsid w:val="00BB7E59"/>
    <w:rsid w:val="00BC3AD3"/>
    <w:rsid w:val="00BC6FBB"/>
    <w:rsid w:val="00BF1727"/>
    <w:rsid w:val="00BF4657"/>
    <w:rsid w:val="00BF757C"/>
    <w:rsid w:val="00C036ED"/>
    <w:rsid w:val="00C1084F"/>
    <w:rsid w:val="00C14ED4"/>
    <w:rsid w:val="00C42A8C"/>
    <w:rsid w:val="00C5088D"/>
    <w:rsid w:val="00C57013"/>
    <w:rsid w:val="00C73519"/>
    <w:rsid w:val="00C8342B"/>
    <w:rsid w:val="00C85B3B"/>
    <w:rsid w:val="00CB5B21"/>
    <w:rsid w:val="00CD332E"/>
    <w:rsid w:val="00CE0741"/>
    <w:rsid w:val="00CE5D36"/>
    <w:rsid w:val="00CF5CD2"/>
    <w:rsid w:val="00CF6550"/>
    <w:rsid w:val="00D514EE"/>
    <w:rsid w:val="00D6113D"/>
    <w:rsid w:val="00D63907"/>
    <w:rsid w:val="00D65086"/>
    <w:rsid w:val="00D9311F"/>
    <w:rsid w:val="00DA68BD"/>
    <w:rsid w:val="00DC3C8A"/>
    <w:rsid w:val="00DD6D64"/>
    <w:rsid w:val="00E112E7"/>
    <w:rsid w:val="00E27E02"/>
    <w:rsid w:val="00EB7F7A"/>
    <w:rsid w:val="00ED770D"/>
    <w:rsid w:val="00EE0399"/>
    <w:rsid w:val="00EF289D"/>
    <w:rsid w:val="00F06A63"/>
    <w:rsid w:val="00F153D8"/>
    <w:rsid w:val="00F231A2"/>
    <w:rsid w:val="00F61CF2"/>
    <w:rsid w:val="00F64799"/>
    <w:rsid w:val="00F7484B"/>
    <w:rsid w:val="00F7774D"/>
    <w:rsid w:val="00F86F33"/>
    <w:rsid w:val="00F94E85"/>
    <w:rsid w:val="00F97F94"/>
    <w:rsid w:val="00FB4404"/>
    <w:rsid w:val="00FC3CAD"/>
    <w:rsid w:val="00FD5DD2"/>
    <w:rsid w:val="00FE1ECA"/>
    <w:rsid w:val="0C912E75"/>
    <w:rsid w:val="2F6E7611"/>
    <w:rsid w:val="7493790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99"/>
  </w:style>
  <w:style w:type="character" w:customStyle="1" w:styleId="8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paragraph" w:customStyle="1" w:styleId="10">
    <w:name w:val="Char Char Char 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38</Words>
  <Characters>223</Characters>
  <Lines>0</Lines>
  <Paragraphs>0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2018-03-16T02:35:00Z</dcterms:created>
  <dc:creator>魏军</dc:creator>
  <cp:lastModifiedBy>市发展和改革局</cp:lastModifiedBy>
  <cp:lastPrinted>2021-04-12T05:51:00Z</cp:lastPrinted>
  <dcterms:modified xsi:type="dcterms:W3CDTF">2023-06-01T06:34:57Z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