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680" w:right="300" w:hanging="2070" w:hangingChars="690"/>
        <w:jc w:val="right"/>
        <w:rPr>
          <w:rFonts w:hint="default" w:ascii="仿宋_GB2312" w:eastAsia="仿宋_GB2312"/>
          <w:sz w:val="30"/>
          <w:szCs w:val="30"/>
          <w:lang w:val="en-US" w:eastAsia="zh-CN"/>
        </w:rPr>
      </w:pPr>
      <w:r>
        <w:rPr>
          <w:rFonts w:hint="eastAsia" w:ascii="仿宋_GB2312" w:eastAsia="仿宋_GB2312"/>
          <w:sz w:val="30"/>
          <w:szCs w:val="30"/>
        </w:rPr>
        <w:t>类别标记：</w:t>
      </w:r>
      <w:r>
        <w:rPr>
          <w:rFonts w:hint="eastAsia" w:ascii="仿宋_GB2312" w:eastAsia="仿宋_GB2312"/>
          <w:sz w:val="30"/>
          <w:szCs w:val="30"/>
          <w:lang w:val="en-US" w:eastAsia="zh-CN"/>
        </w:rPr>
        <w:t>A</w:t>
      </w:r>
    </w:p>
    <w:p>
      <w:pPr>
        <w:keepNext w:val="0"/>
        <w:keepLines w:val="0"/>
        <w:pageBreakBefore w:val="0"/>
        <w:widowControl/>
        <w:kinsoku/>
        <w:wordWrap/>
        <w:overflowPunct/>
        <w:topLinePunct w:val="0"/>
        <w:autoSpaceDE/>
        <w:autoSpaceDN/>
        <w:bidi w:val="0"/>
        <w:adjustRightInd w:val="0"/>
        <w:snapToGrid w:val="0"/>
        <w:spacing w:line="1000" w:lineRule="exact"/>
        <w:jc w:val="center"/>
        <w:textAlignment w:val="auto"/>
        <w:outlineLvl w:val="9"/>
        <w:rPr>
          <w:rFonts w:ascii="仿宋_GB2312" w:hAnsi="宋体" w:eastAsia="仿宋_GB2312"/>
          <w:b/>
          <w:sz w:val="72"/>
          <w:szCs w:val="72"/>
        </w:rPr>
      </w:pPr>
    </w:p>
    <w:p>
      <w:pPr>
        <w:keepNext w:val="0"/>
        <w:keepLines w:val="0"/>
        <w:pageBreakBefore w:val="0"/>
        <w:widowControl/>
        <w:kinsoku/>
        <w:wordWrap/>
        <w:overflowPunct/>
        <w:topLinePunct w:val="0"/>
        <w:autoSpaceDE/>
        <w:autoSpaceDN/>
        <w:bidi w:val="0"/>
        <w:adjustRightInd w:val="0"/>
        <w:snapToGrid w:val="0"/>
        <w:spacing w:line="1000" w:lineRule="exact"/>
        <w:jc w:val="center"/>
        <w:textAlignment w:val="auto"/>
        <w:outlineLvl w:val="9"/>
        <w:rPr>
          <w:rFonts w:hint="eastAsia" w:eastAsia="微软雅黑"/>
          <w:b w:val="0"/>
          <w:bCs w:val="0"/>
          <w:spacing w:val="23"/>
          <w:w w:val="60"/>
          <w:sz w:val="84"/>
          <w:szCs w:val="84"/>
          <w:lang w:eastAsia="zh-CN"/>
        </w:rPr>
      </w:pPr>
      <w:r>
        <w:rPr>
          <w:rFonts w:hint="eastAsia" w:ascii="方正小标宋简体" w:eastAsia="方正小标宋简体"/>
          <w:b w:val="0"/>
          <w:bCs w:val="0"/>
          <w:color w:val="FF0000"/>
          <w:spacing w:val="23"/>
          <w:w w:val="60"/>
          <w:sz w:val="84"/>
          <w:szCs w:val="84"/>
          <w:lang w:eastAsia="zh-CN"/>
        </w:rPr>
        <w:t>余姚市文化和广电旅游体育局文件</w:t>
      </w:r>
    </w:p>
    <w:p>
      <w:pPr>
        <w:keepNext w:val="0"/>
        <w:keepLines w:val="0"/>
        <w:pageBreakBefore w:val="0"/>
        <w:widowControl/>
        <w:kinsoku/>
        <w:wordWrap/>
        <w:overflowPunct/>
        <w:topLinePunct w:val="0"/>
        <w:autoSpaceDE/>
        <w:autoSpaceDN/>
        <w:bidi w:val="0"/>
        <w:adjustRightInd w:val="0"/>
        <w:snapToGrid w:val="0"/>
        <w:spacing w:line="1000" w:lineRule="exact"/>
        <w:jc w:val="center"/>
        <w:textAlignment w:val="auto"/>
        <w:outlineLvl w:val="9"/>
        <w:rPr>
          <w:b w:val="0"/>
          <w:bCs w:val="0"/>
          <w:spacing w:val="20"/>
          <w:w w:val="66"/>
          <w:sz w:val="84"/>
          <w:szCs w:val="84"/>
        </w:rPr>
      </w:pPr>
      <w: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758190</wp:posOffset>
                </wp:positionV>
                <wp:extent cx="576008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76008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75pt;margin-top:59.7pt;height:0pt;width:453.55pt;z-index:251658240;mso-width-relative:page;mso-height-relative:page;" filled="f" stroked="t" coordsize="21600,21600" o:gfxdata="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Knc7rb&#10;AAAACwEAAA8AAAAAAAAAAQAgAAAAIgAAAGRycy9kb3ducmV2LnhtbFBLAQIUABQAAAAIAIdO4kAA&#10;cFrG5AEAAKEDAAAOAAAAAAAAAAEAIAAAACoBAABkcnMvZTJvRG9jLnhtbFBLBQYAAAAABgAGAFkB&#10;AACABQAAAAA=&#10;">
                <v:fill on="f" focussize="0,0"/>
                <v:stroke weight="2.25pt" color="#FF0000" joinstyle="round"/>
                <v:imagedata o:title=""/>
                <o:lock v:ext="edit" aspectratio="f"/>
              </v:line>
            </w:pict>
          </mc:Fallback>
        </mc:AlternateContent>
      </w:r>
    </w:p>
    <w:p>
      <w:pPr>
        <w:spacing w:after="0" w:line="540" w:lineRule="exact"/>
        <w:jc w:val="center"/>
        <w:rPr>
          <w:rFonts w:ascii="Cambria" w:eastAsia="楷体_GB2312"/>
          <w:snapToGrid w:val="0"/>
          <w:sz w:val="32"/>
          <w:szCs w:val="32"/>
        </w:rPr>
      </w:pPr>
    </w:p>
    <w:p>
      <w:pPr>
        <w:spacing w:line="560" w:lineRule="exact"/>
        <w:jc w:val="center"/>
        <w:rPr>
          <w:rFonts w:hint="eastAsia" w:eastAsia="方正小标宋简体"/>
          <w:sz w:val="36"/>
        </w:rPr>
      </w:pPr>
    </w:p>
    <w:p>
      <w:pPr>
        <w:spacing w:line="560" w:lineRule="exact"/>
        <w:jc w:val="center"/>
        <w:rPr>
          <w:rFonts w:hint="eastAsia" w:eastAsia="方正小标宋简体"/>
          <w:sz w:val="36"/>
        </w:rPr>
      </w:pPr>
      <w:r>
        <w:rPr>
          <w:rFonts w:hint="eastAsia" w:eastAsia="方正小标宋简体"/>
          <w:sz w:val="36"/>
        </w:rPr>
        <w:t>关于市</w:t>
      </w:r>
      <w:r>
        <w:rPr>
          <w:rFonts w:hint="eastAsia" w:eastAsia="方正小标宋简体"/>
          <w:sz w:val="36"/>
          <w:lang w:val="en-US" w:eastAsia="zh-CN"/>
        </w:rPr>
        <w:t>十八</w:t>
      </w:r>
      <w:r>
        <w:rPr>
          <w:rFonts w:hint="eastAsia" w:eastAsia="方正小标宋简体"/>
          <w:sz w:val="36"/>
        </w:rPr>
        <w:t>届人大</w:t>
      </w:r>
      <w:r>
        <w:rPr>
          <w:rFonts w:hint="eastAsia" w:eastAsia="方正小标宋简体"/>
          <w:sz w:val="36"/>
          <w:lang w:val="en-US" w:eastAsia="zh-CN"/>
        </w:rPr>
        <w:t>二</w:t>
      </w:r>
      <w:r>
        <w:rPr>
          <w:rFonts w:hint="eastAsia" w:eastAsia="方正小标宋简体"/>
          <w:sz w:val="36"/>
        </w:rPr>
        <w:t>次会议第</w:t>
      </w:r>
      <w:r>
        <w:rPr>
          <w:rFonts w:hint="eastAsia" w:eastAsia="方正小标宋简体"/>
          <w:sz w:val="36"/>
          <w:lang w:val="en-US" w:eastAsia="zh-CN"/>
        </w:rPr>
        <w:t>74</w:t>
      </w:r>
      <w:r>
        <w:rPr>
          <w:rFonts w:hint="eastAsia" w:eastAsia="方正小标宋简体"/>
          <w:sz w:val="36"/>
        </w:rPr>
        <w:t>号建议的答复</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林倩倩代表：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您提出的《</w:t>
      </w:r>
      <w:r>
        <w:rPr>
          <w:rFonts w:hint="eastAsia" w:ascii="仿宋" w:hAnsi="仿宋" w:eastAsia="仿宋" w:cs="仿宋"/>
          <w:sz w:val="32"/>
          <w:szCs w:val="32"/>
          <w:lang w:val="en-US" w:eastAsia="zh-CN"/>
        </w:rPr>
        <w:t>关于加强古建筑保护建议</w:t>
      </w:r>
      <w:r>
        <w:rPr>
          <w:rFonts w:hint="eastAsia" w:ascii="仿宋" w:hAnsi="仿宋" w:eastAsia="仿宋" w:cs="仿宋"/>
          <w:sz w:val="32"/>
          <w:szCs w:val="32"/>
        </w:rPr>
        <w:t>》</w:t>
      </w:r>
      <w:r>
        <w:rPr>
          <w:rFonts w:hint="eastAsia" w:ascii="仿宋" w:hAnsi="仿宋" w:eastAsia="仿宋" w:cs="仿宋"/>
          <w:sz w:val="32"/>
          <w:szCs w:val="32"/>
          <w:lang w:eastAsia="zh-CN"/>
        </w:rPr>
        <w:t>收</w:t>
      </w:r>
      <w:r>
        <w:rPr>
          <w:rFonts w:hint="eastAsia" w:ascii="仿宋" w:hAnsi="仿宋" w:eastAsia="仿宋" w:cs="仿宋"/>
          <w:sz w:val="32"/>
          <w:szCs w:val="32"/>
        </w:rPr>
        <w:t>悉，现答复如下：</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鹿亭乡中村是省级历史文化名村，数量较多的古建筑，体现了中村的历史风貌和地域特色，也是中村的重要旅游资源。目前，仙圣庙戏台已被列入余姚市市级文物保护单位，白云桥被列为省级文物保护单位，一些古建筑亦作为不可移动文物在“三普”中被登录在案。</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诚如您所言，由于年久失修、自然和人为损坏，很多古建筑存在不同程度的残损情况，需要实施保护修缮。我们非常认同您提出的意见和建议，将与属地政府及相关部门密切合作，加大保护力度，推动旅游发展、乡村建设和古建筑保护融合协同开展。</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在文物保护方面，我市文物部门持续深耕：</w:t>
      </w:r>
    </w:p>
    <w:p>
      <w:pPr>
        <w:spacing w:line="56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一、积极争取加大财政资金投入。</w:t>
      </w:r>
      <w:r>
        <w:rPr>
          <w:rFonts w:hint="eastAsia" w:ascii="仿宋" w:hAnsi="仿宋" w:eastAsia="仿宋" w:cs="仿宋"/>
          <w:sz w:val="32"/>
          <w:szCs w:val="32"/>
          <w:lang w:val="en-US" w:eastAsia="zh-CN"/>
        </w:rPr>
        <w:t>近年来，我市财政持续加大对文物修缮方面的资金投入，年修缮资金由95万提升至195万，年实施修缮及抢救性加固项目超10处。但我市已公布的文保单位（点）有221处，点多面广分布广泛，平均每处后文物保护经费仍显杯水车薪，亟待修缮的文物大多处于“排队等待”状态，谁先谁后，仅能根据危重急需、社会关注、文物价值三个因素综合评判考虑，逐年分批次进行抢救性维修。</w:t>
      </w:r>
    </w:p>
    <w:p>
      <w:pPr>
        <w:numPr>
          <w:ilvl w:val="0"/>
          <w:numId w:val="0"/>
        </w:num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二、奋力做好专业指导及修缮抢修项目。</w:t>
      </w:r>
      <w:r>
        <w:rPr>
          <w:rFonts w:hint="eastAsia" w:ascii="仿宋" w:hAnsi="仿宋" w:eastAsia="仿宋" w:cs="仿宋"/>
          <w:sz w:val="32"/>
          <w:szCs w:val="32"/>
          <w:lang w:val="en-US" w:eastAsia="zh-CN"/>
        </w:rPr>
        <w:t>历年来，我市文物部门十分重视中村古建筑的保护，不仅全程参与了前几年实施的中村古村修缮整治项目的业务指导，还多次会同鹿亭乡对仙圣庙戏台实施了修缮和维护保养，2022底对因强台风受损的白云桥实施了抢险加固工程。在古建筑修缮的过程中，我们致力于尊重历史，在确保文物安全的情况下，尽量选择以“老工艺老方法老材料”进行修缮；同时，我们也在探索《保护文物建筑及历史地段的国际宪章》简称《威尼斯宪章》中提出的“可识别”原则，即“后世修复要与文物原位置区别开来并能明显看出是现代修复的思想”。</w:t>
      </w:r>
    </w:p>
    <w:p>
      <w:pPr>
        <w:numPr>
          <w:ilvl w:val="0"/>
          <w:numId w:val="0"/>
        </w:num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三、持续完善管理机构和专业队伍建设。</w:t>
      </w:r>
      <w:r>
        <w:rPr>
          <w:rFonts w:hint="eastAsia" w:ascii="仿宋" w:hAnsi="仿宋" w:eastAsia="仿宋" w:cs="仿宋"/>
          <w:sz w:val="32"/>
          <w:szCs w:val="32"/>
          <w:lang w:val="en-US" w:eastAsia="zh-CN"/>
        </w:rPr>
        <w:t>目前，我市文物管理机构设有余姚市文物保护管理所，余姚市河姆渡遗址博物馆等专业文物机构，在编在岗的文物工作人员近50人，其中具有中级以上职称的在编在岗文物工作人员28名。我市积极打造业余文保员队伍，拥有一支400名以上文物志愿者队伍。</w:t>
      </w:r>
    </w:p>
    <w:p>
      <w:pPr>
        <w:numPr>
          <w:ilvl w:val="0"/>
          <w:numId w:val="0"/>
        </w:numPr>
        <w:spacing w:line="560" w:lineRule="exact"/>
        <w:ind w:firstLine="640" w:firstLineChars="200"/>
        <w:rPr>
          <w:rFonts w:hint="eastAsia" w:ascii="仿宋" w:hAnsi="仿宋" w:eastAsia="仿宋"/>
          <w:sz w:val="32"/>
          <w:szCs w:val="32"/>
        </w:rPr>
      </w:pPr>
      <w:r>
        <w:rPr>
          <w:rFonts w:hint="eastAsia" w:ascii="仿宋" w:hAnsi="仿宋" w:eastAsia="仿宋" w:cs="仿宋"/>
          <w:sz w:val="32"/>
          <w:szCs w:val="32"/>
          <w:lang w:val="en-US" w:eastAsia="zh-CN"/>
        </w:rPr>
        <w:t>在打造队伍的同时，持续开展文物安全管理员、文物修缮队伍的相关业务培训，提高保护工作水平。</w:t>
      </w:r>
      <w:r>
        <w:rPr>
          <w:rFonts w:hint="eastAsia" w:ascii="仿宋" w:hAnsi="仿宋" w:eastAsia="仿宋"/>
          <w:sz w:val="32"/>
          <w:szCs w:val="32"/>
        </w:rPr>
        <w:t>定期开展文物安全和执法业务培训、岗位练兵比武，提升全市文物安全监管和行政执法能力。</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今后，我们将重点做好以下工作：</w:t>
      </w:r>
    </w:p>
    <w:p>
      <w:pPr>
        <w:numPr>
          <w:ilvl w:val="0"/>
          <w:numId w:val="0"/>
        </w:num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一、超前谋划，适时启动第四次全国文物普查工作。</w:t>
      </w:r>
      <w:r>
        <w:rPr>
          <w:rFonts w:hint="eastAsia" w:ascii="仿宋" w:hAnsi="仿宋" w:eastAsia="仿宋" w:cs="仿宋"/>
          <w:sz w:val="32"/>
          <w:szCs w:val="32"/>
          <w:lang w:val="en-US" w:eastAsia="zh-CN"/>
        </w:rPr>
        <w:t>通过新一轮文物普查，进一步摸清全市古建筑的底数、保护状况，为保护管理工作的开展提供依据。中村作为历史文化名村将作为此次普查的重点之一。</w:t>
      </w:r>
    </w:p>
    <w:p>
      <w:pPr>
        <w:numPr>
          <w:ilvl w:val="0"/>
          <w:numId w:val="0"/>
        </w:num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二、突出重点，不断加强文物古建筑保护修缮力度。</w:t>
      </w:r>
      <w:r>
        <w:rPr>
          <w:rFonts w:hint="eastAsia" w:ascii="仿宋" w:hAnsi="仿宋" w:eastAsia="仿宋" w:cs="仿宋"/>
          <w:sz w:val="32"/>
          <w:szCs w:val="32"/>
          <w:lang w:val="en-US" w:eastAsia="zh-CN"/>
        </w:rPr>
        <w:t>我市文物部门将依据《余姚市文物保护工程操作办法》的规定，对文物修缮工程实施全过程监管和指导，并根据文物级别给予相应的资金补助。中村仙圣庙局部修缮工程今年将实施完成。</w:t>
      </w:r>
    </w:p>
    <w:p>
      <w:pPr>
        <w:numPr>
          <w:ilvl w:val="0"/>
          <w:numId w:val="0"/>
        </w:num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三、优化服务，加强未定级文物古建筑的修缮指导。</w:t>
      </w:r>
      <w:r>
        <w:rPr>
          <w:rFonts w:hint="eastAsia" w:ascii="仿宋" w:hAnsi="仿宋" w:eastAsia="仿宋" w:cs="仿宋"/>
          <w:sz w:val="32"/>
          <w:szCs w:val="32"/>
          <w:lang w:val="en-US" w:eastAsia="zh-CN"/>
        </w:rPr>
        <w:t>我市文物部门将组织专家对产权属于私人、未列为文保单位（文保点）的古建筑做好保护修缮的业务指导，按照《余姚市历史文化名城名镇名村保护管理办法》的要求，确定合理科学的修缮方式，避免破坏性修缮，切实维护古建筑的基本结构和历史风貌。鼓励、支持产权人积极申报宁波市历史文化名城名镇名村保护专项资金补助，用于古建筑的保护修缮。由于中村绝大多数古建筑属于私人产权，我市文物部门也会建议乡政府加强这方面的工作力度。</w:t>
      </w:r>
    </w:p>
    <w:p>
      <w:pPr>
        <w:numPr>
          <w:ilvl w:val="0"/>
          <w:numId w:val="0"/>
        </w:num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四、强化宣传，着力提升全民参与保护。</w:t>
      </w:r>
      <w:r>
        <w:rPr>
          <w:rFonts w:hint="eastAsia" w:ascii="仿宋" w:hAnsi="仿宋" w:eastAsia="仿宋" w:cs="仿宋"/>
          <w:sz w:val="32"/>
          <w:szCs w:val="32"/>
          <w:lang w:val="en-US" w:eastAsia="zh-CN"/>
        </w:rPr>
        <w:t>加强古建筑保护的宣传和教育力度，积极引导当地社会力量的参与和投入，做好文物古建筑的保护和利用，不断提高群众的文物古建筑保护意识。同时，利用各种媒体、多种方式加强古建筑知识的宣传普及教育，提升人民群众保护文物古建筑的自觉性、自律性，为历史文化名村、文物古建筑的保护工作营造良好的舆论氛围。</w:t>
      </w:r>
      <w:bookmarkStart w:id="0" w:name="_GoBack"/>
      <w:bookmarkEnd w:id="0"/>
    </w:p>
    <w:p>
      <w:pPr>
        <w:numPr>
          <w:ilvl w:val="0"/>
          <w:numId w:val="0"/>
        </w:num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感谢您对文化遗产保护工作的关心和支持！</w:t>
      </w:r>
    </w:p>
    <w:p>
      <w:pPr>
        <w:spacing w:line="560" w:lineRule="exact"/>
        <w:ind w:firstLine="640" w:firstLineChars="200"/>
        <w:rPr>
          <w:rFonts w:hint="eastAsia" w:ascii="仿宋_GB2312" w:hAnsi="Times New Roman" w:eastAsia="仿宋_GB2312" w:cs="Times New Roman"/>
          <w:sz w:val="32"/>
          <w:szCs w:val="32"/>
          <w:lang w:val="en-US" w:eastAsia="zh-CN"/>
        </w:rPr>
      </w:pPr>
    </w:p>
    <w:p>
      <w:pPr>
        <w:spacing w:line="56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分管领导：王建军</w:t>
      </w:r>
    </w:p>
    <w:p>
      <w:pPr>
        <w:spacing w:line="56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 办 人：梅赞</w:t>
      </w:r>
    </w:p>
    <w:p>
      <w:pPr>
        <w:spacing w:line="56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联系电话：18858059778</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3200" w:firstLineChars="10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余姚市文化和广电旅游体育局</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2023年5月6日</w:t>
      </w:r>
    </w:p>
    <w:p>
      <w:pPr>
        <w:rPr>
          <w:rFonts w:hint="eastAsia" w:ascii="仿宋" w:hAnsi="仿宋" w:eastAsia="仿宋" w:cs="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TkxYjU2ZWNhYmE0OWE5ZmRhYTE1ZmU4MTQ4ZmQifQ=="/>
  </w:docVars>
  <w:rsids>
    <w:rsidRoot w:val="3B97035B"/>
    <w:rsid w:val="0D36331A"/>
    <w:rsid w:val="135B12A3"/>
    <w:rsid w:val="33953E55"/>
    <w:rsid w:val="340E4E14"/>
    <w:rsid w:val="39E05BB9"/>
    <w:rsid w:val="3B602CE4"/>
    <w:rsid w:val="3B97035B"/>
    <w:rsid w:val="4B2E2486"/>
    <w:rsid w:val="5DAC2A08"/>
    <w:rsid w:val="6DBC16F6"/>
    <w:rsid w:val="725A25A3"/>
    <w:rsid w:val="72F13A2B"/>
    <w:rsid w:val="77D715DF"/>
    <w:rsid w:val="7863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line="360" w:lineRule="auto"/>
      <w:ind w:firstLine="200" w:firstLineChars="200"/>
    </w:pPr>
    <w:rPr>
      <w:rFonts w:ascii="Arial" w:hAnsi="Arial" w:eastAsia="宋体" w:cs="宋体"/>
      <w:sz w:val="24"/>
      <w:szCs w:val="20"/>
    </w:rPr>
  </w:style>
  <w:style w:type="paragraph" w:styleId="3">
    <w:name w:val="Body Text First Indent"/>
    <w:basedOn w:val="2"/>
    <w:qFormat/>
    <w:uiPriority w:val="0"/>
    <w:pPr>
      <w:widowControl/>
      <w:spacing w:line="240" w:lineRule="auto"/>
      <w:ind w:firstLine="420" w:firstLineChars="100"/>
      <w:jc w:val="left"/>
    </w:pPr>
    <w:rPr>
      <w:rFonts w:ascii="Times New Roman" w:hAnsi="Times New Roman" w:cs="Times New Roman"/>
      <w:sz w:val="21"/>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1220</Words>
  <Characters>1239</Characters>
  <Lines>0</Lines>
  <Paragraphs>0</Paragraphs>
  <TotalTime>1</TotalTime>
  <ScaleCrop>false</ScaleCrop>
  <LinksUpToDate>false</LinksUpToDate>
  <CharactersWithSpaces>1285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2023-04-14T02:41:00Z</dcterms:created>
  <dc:creator>左岸流年</dc:creator>
  <cp:lastModifiedBy>Administrator</cp:lastModifiedBy>
  <cp:lastPrinted>2023-05-08T00:51:00Z</cp:lastPrinted>
  <dcterms:modified xsi:type="dcterms:W3CDTF">2023-05-08T01:08:36Z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D631FB26B2014151BBD1A03269F3671C_11</vt:lpwstr>
  </property>
</Properties>
</file>